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59" w:rsidRDefault="00634EA9" w:rsidP="004901B1">
      <w:pPr>
        <w:pStyle w:val="NoSpacing"/>
      </w:pPr>
      <w:r>
        <w:t xml:space="preserve">The Vietnam War was the first major war in which popular musicians used their lyrics to protest against the war.  All of these are easily available on the </w:t>
      </w:r>
      <w:proofErr w:type="spellStart"/>
      <w:r>
        <w:t>Iboss</w:t>
      </w:r>
      <w:proofErr w:type="spellEnd"/>
      <w:r>
        <w:t xml:space="preserve"> </w:t>
      </w:r>
      <w:proofErr w:type="spellStart"/>
      <w:r>
        <w:t>Youtube</w:t>
      </w:r>
      <w:proofErr w:type="spellEnd"/>
      <w:r>
        <w:t xml:space="preserve"> channel.  </w:t>
      </w:r>
    </w:p>
    <w:tbl>
      <w:tblPr>
        <w:tblStyle w:val="TableGrid"/>
        <w:tblW w:w="0" w:type="auto"/>
        <w:tblLook w:val="04A0" w:firstRow="1" w:lastRow="0" w:firstColumn="1" w:lastColumn="0" w:noHBand="0" w:noVBand="1"/>
      </w:tblPr>
      <w:tblGrid>
        <w:gridCol w:w="3192"/>
        <w:gridCol w:w="3192"/>
        <w:gridCol w:w="3192"/>
      </w:tblGrid>
      <w:tr w:rsidR="00634EA9" w:rsidTr="00634EA9">
        <w:tc>
          <w:tcPr>
            <w:tcW w:w="3192" w:type="dxa"/>
          </w:tcPr>
          <w:p w:rsidR="00634EA9" w:rsidRDefault="00634EA9">
            <w:r>
              <w:t>Song</w:t>
            </w:r>
          </w:p>
        </w:tc>
        <w:tc>
          <w:tcPr>
            <w:tcW w:w="3192" w:type="dxa"/>
          </w:tcPr>
          <w:p w:rsidR="00634EA9" w:rsidRDefault="00634EA9">
            <w:r>
              <w:t>Central Criticism</w:t>
            </w:r>
          </w:p>
        </w:tc>
        <w:tc>
          <w:tcPr>
            <w:tcW w:w="3192" w:type="dxa"/>
          </w:tcPr>
          <w:p w:rsidR="00634EA9" w:rsidRDefault="00634EA9">
            <w:r>
              <w:t>Key Lyric to illustrate point</w:t>
            </w:r>
          </w:p>
        </w:tc>
      </w:tr>
      <w:tr w:rsidR="00634EA9" w:rsidTr="00634EA9">
        <w:tc>
          <w:tcPr>
            <w:tcW w:w="3192" w:type="dxa"/>
          </w:tcPr>
          <w:p w:rsidR="00634EA9" w:rsidRDefault="00634EA9">
            <w:r>
              <w:t>Frank Zappa, “Trouble Every Day”</w:t>
            </w:r>
          </w:p>
          <w:p w:rsidR="00634EA9" w:rsidRDefault="00634EA9">
            <w:bookmarkStart w:id="0" w:name="_GoBack"/>
            <w:bookmarkEnd w:id="0"/>
          </w:p>
        </w:tc>
        <w:tc>
          <w:tcPr>
            <w:tcW w:w="3192" w:type="dxa"/>
          </w:tcPr>
          <w:p w:rsidR="00634EA9" w:rsidRDefault="00634EA9"/>
        </w:tc>
        <w:tc>
          <w:tcPr>
            <w:tcW w:w="3192" w:type="dxa"/>
          </w:tcPr>
          <w:p w:rsidR="00634EA9" w:rsidRDefault="00634EA9"/>
          <w:p w:rsidR="00634EA9" w:rsidRDefault="00634EA9"/>
          <w:p w:rsidR="00634EA9" w:rsidRDefault="00634EA9"/>
          <w:p w:rsidR="00634EA9" w:rsidRDefault="00634EA9"/>
          <w:p w:rsidR="00634EA9" w:rsidRDefault="00634EA9"/>
        </w:tc>
      </w:tr>
      <w:tr w:rsidR="00634EA9" w:rsidTr="00634EA9">
        <w:tc>
          <w:tcPr>
            <w:tcW w:w="3192" w:type="dxa"/>
          </w:tcPr>
          <w:p w:rsidR="00634EA9" w:rsidRDefault="00634EA9">
            <w:r>
              <w:t>Elvis Presley, “If I can dream”</w:t>
            </w:r>
          </w:p>
          <w:p w:rsidR="00634EA9" w:rsidRDefault="00634EA9"/>
          <w:p w:rsidR="00634EA9" w:rsidRDefault="00634EA9"/>
        </w:tc>
        <w:tc>
          <w:tcPr>
            <w:tcW w:w="3192" w:type="dxa"/>
          </w:tcPr>
          <w:p w:rsidR="00634EA9" w:rsidRDefault="00634EA9"/>
        </w:tc>
        <w:tc>
          <w:tcPr>
            <w:tcW w:w="3192" w:type="dxa"/>
          </w:tcPr>
          <w:p w:rsidR="00634EA9" w:rsidRDefault="00634EA9"/>
          <w:p w:rsidR="00634EA9" w:rsidRDefault="00634EA9"/>
          <w:p w:rsidR="00634EA9" w:rsidRDefault="00634EA9"/>
          <w:p w:rsidR="00634EA9" w:rsidRDefault="00634EA9"/>
          <w:p w:rsidR="00634EA9" w:rsidRDefault="00634EA9"/>
        </w:tc>
      </w:tr>
      <w:tr w:rsidR="00634EA9" w:rsidTr="00634EA9">
        <w:tc>
          <w:tcPr>
            <w:tcW w:w="3192" w:type="dxa"/>
          </w:tcPr>
          <w:p w:rsidR="00634EA9" w:rsidRDefault="00634EA9">
            <w:r>
              <w:t>Credence Clearwater Revival,</w:t>
            </w:r>
          </w:p>
          <w:p w:rsidR="00634EA9" w:rsidRDefault="00634EA9">
            <w:r>
              <w:t>“Fortunate Son”</w:t>
            </w:r>
          </w:p>
        </w:tc>
        <w:tc>
          <w:tcPr>
            <w:tcW w:w="3192" w:type="dxa"/>
          </w:tcPr>
          <w:p w:rsidR="00634EA9" w:rsidRDefault="00634EA9"/>
        </w:tc>
        <w:tc>
          <w:tcPr>
            <w:tcW w:w="3192" w:type="dxa"/>
          </w:tcPr>
          <w:p w:rsidR="00634EA9" w:rsidRDefault="00634EA9"/>
          <w:p w:rsidR="00634EA9" w:rsidRDefault="00634EA9"/>
          <w:p w:rsidR="00634EA9" w:rsidRDefault="00634EA9"/>
          <w:p w:rsidR="00634EA9" w:rsidRDefault="00634EA9"/>
          <w:p w:rsidR="00634EA9" w:rsidRDefault="00634EA9"/>
        </w:tc>
      </w:tr>
      <w:tr w:rsidR="00634EA9" w:rsidTr="00634EA9">
        <w:tc>
          <w:tcPr>
            <w:tcW w:w="3192" w:type="dxa"/>
          </w:tcPr>
          <w:p w:rsidR="00634EA9" w:rsidRDefault="00634EA9">
            <w:r>
              <w:t>Barry McGuire, “Eve of Destruction.”</w:t>
            </w:r>
          </w:p>
          <w:p w:rsidR="00634EA9" w:rsidRDefault="00634EA9"/>
          <w:p w:rsidR="00634EA9" w:rsidRDefault="00634EA9"/>
        </w:tc>
        <w:tc>
          <w:tcPr>
            <w:tcW w:w="3192" w:type="dxa"/>
          </w:tcPr>
          <w:p w:rsidR="00634EA9" w:rsidRDefault="00634EA9"/>
        </w:tc>
        <w:tc>
          <w:tcPr>
            <w:tcW w:w="3192" w:type="dxa"/>
          </w:tcPr>
          <w:p w:rsidR="00634EA9" w:rsidRDefault="00634EA9"/>
        </w:tc>
      </w:tr>
      <w:tr w:rsidR="00634EA9" w:rsidTr="00634EA9">
        <w:tc>
          <w:tcPr>
            <w:tcW w:w="3192" w:type="dxa"/>
          </w:tcPr>
          <w:p w:rsidR="00634EA9" w:rsidRDefault="00634EA9">
            <w:r>
              <w:t>Phil Ochs, “Draft Dodger Rag”</w:t>
            </w:r>
          </w:p>
          <w:p w:rsidR="00634EA9" w:rsidRDefault="00634EA9"/>
          <w:p w:rsidR="00634EA9" w:rsidRDefault="00634EA9"/>
          <w:p w:rsidR="00634EA9" w:rsidRDefault="00634EA9"/>
        </w:tc>
        <w:tc>
          <w:tcPr>
            <w:tcW w:w="3192" w:type="dxa"/>
          </w:tcPr>
          <w:p w:rsidR="00634EA9" w:rsidRDefault="00634EA9"/>
        </w:tc>
        <w:tc>
          <w:tcPr>
            <w:tcW w:w="3192" w:type="dxa"/>
          </w:tcPr>
          <w:p w:rsidR="00634EA9" w:rsidRDefault="00634EA9"/>
        </w:tc>
      </w:tr>
      <w:tr w:rsidR="00634EA9" w:rsidTr="00634EA9">
        <w:tc>
          <w:tcPr>
            <w:tcW w:w="3192" w:type="dxa"/>
          </w:tcPr>
          <w:p w:rsidR="00634EA9" w:rsidRDefault="00634EA9">
            <w:r>
              <w:t xml:space="preserve">Country Joe and the Fish, “Feel Like I’m </w:t>
            </w:r>
            <w:proofErr w:type="spellStart"/>
            <w:r>
              <w:t>Fixin</w:t>
            </w:r>
            <w:proofErr w:type="spellEnd"/>
            <w:r>
              <w:t>’ to Die”</w:t>
            </w:r>
          </w:p>
          <w:p w:rsidR="00634EA9" w:rsidRDefault="00634EA9"/>
          <w:p w:rsidR="00634EA9" w:rsidRDefault="00634EA9"/>
        </w:tc>
        <w:tc>
          <w:tcPr>
            <w:tcW w:w="3192" w:type="dxa"/>
          </w:tcPr>
          <w:p w:rsidR="00634EA9" w:rsidRDefault="00634EA9"/>
        </w:tc>
        <w:tc>
          <w:tcPr>
            <w:tcW w:w="3192" w:type="dxa"/>
          </w:tcPr>
          <w:p w:rsidR="00634EA9" w:rsidRDefault="00634EA9"/>
        </w:tc>
      </w:tr>
      <w:tr w:rsidR="00634EA9" w:rsidTr="00634EA9">
        <w:tc>
          <w:tcPr>
            <w:tcW w:w="3192" w:type="dxa"/>
          </w:tcPr>
          <w:p w:rsidR="00634EA9" w:rsidRDefault="00634EA9">
            <w:r>
              <w:t>Neil Yong, “Ohio”</w:t>
            </w:r>
          </w:p>
          <w:p w:rsidR="00634EA9" w:rsidRDefault="00634EA9"/>
          <w:p w:rsidR="00634EA9" w:rsidRDefault="00634EA9"/>
        </w:tc>
        <w:tc>
          <w:tcPr>
            <w:tcW w:w="3192" w:type="dxa"/>
          </w:tcPr>
          <w:p w:rsidR="00634EA9" w:rsidRDefault="00634EA9"/>
        </w:tc>
        <w:tc>
          <w:tcPr>
            <w:tcW w:w="3192" w:type="dxa"/>
          </w:tcPr>
          <w:p w:rsidR="00634EA9" w:rsidRDefault="00634EA9"/>
        </w:tc>
      </w:tr>
    </w:tbl>
    <w:p w:rsidR="00634EA9" w:rsidRDefault="00634EA9"/>
    <w:p w:rsidR="002246C6" w:rsidRDefault="002246C6">
      <w:r>
        <w:t>Pick one song and write out a full OPCVL</w:t>
      </w:r>
    </w:p>
    <w:p w:rsidR="004901B1" w:rsidRPr="002246C6" w:rsidRDefault="004901B1" w:rsidP="004901B1">
      <w:pPr>
        <w:jc w:val="center"/>
        <w:rPr>
          <w:u w:val="single"/>
        </w:rPr>
      </w:pPr>
      <w:r w:rsidRPr="002246C6">
        <w:rPr>
          <w:u w:val="single"/>
        </w:rPr>
        <w:t>Role of Photographs</w:t>
      </w:r>
    </w:p>
    <w:p w:rsidR="004901B1" w:rsidRDefault="004901B1" w:rsidP="004901B1">
      <w:pPr>
        <w:pStyle w:val="NoSpacing"/>
      </w:pPr>
      <w:r>
        <w:t xml:space="preserve">This was the first and last major war which was photographed, in color, with no government censorship.  This had an immense impact on public perception of the war.  Use Google Images to find 5 iconic photographs relating to the events of the Vietnam War between 1968-1970 Search specificity items like Tet, </w:t>
      </w:r>
      <w:proofErr w:type="spellStart"/>
      <w:r>
        <w:t>Mi</w:t>
      </w:r>
      <w:proofErr w:type="spellEnd"/>
      <w:r>
        <w:t xml:space="preserve"> Lai, Kent State etc.</w:t>
      </w:r>
      <w:r w:rsidR="002246C6">
        <w:t xml:space="preserve">  Copy and paste the image in the table below</w:t>
      </w:r>
    </w:p>
    <w:tbl>
      <w:tblPr>
        <w:tblStyle w:val="TableGrid"/>
        <w:tblW w:w="0" w:type="auto"/>
        <w:tblLook w:val="04A0" w:firstRow="1" w:lastRow="0" w:firstColumn="1" w:lastColumn="0" w:noHBand="0" w:noVBand="1"/>
      </w:tblPr>
      <w:tblGrid>
        <w:gridCol w:w="2394"/>
        <w:gridCol w:w="2394"/>
        <w:gridCol w:w="2394"/>
        <w:gridCol w:w="2394"/>
      </w:tblGrid>
      <w:tr w:rsidR="004901B1" w:rsidTr="004901B1">
        <w:tc>
          <w:tcPr>
            <w:tcW w:w="2394" w:type="dxa"/>
          </w:tcPr>
          <w:p w:rsidR="004901B1" w:rsidRDefault="004901B1" w:rsidP="004901B1">
            <w:pPr>
              <w:pStyle w:val="NoSpacing"/>
            </w:pPr>
            <w:r>
              <w:t>Image</w:t>
            </w:r>
          </w:p>
        </w:tc>
        <w:tc>
          <w:tcPr>
            <w:tcW w:w="2394" w:type="dxa"/>
          </w:tcPr>
          <w:p w:rsidR="004901B1" w:rsidRDefault="004901B1" w:rsidP="004901B1">
            <w:pPr>
              <w:pStyle w:val="NoSpacing"/>
            </w:pPr>
            <w:r>
              <w:t>Date</w:t>
            </w:r>
          </w:p>
        </w:tc>
        <w:tc>
          <w:tcPr>
            <w:tcW w:w="2394" w:type="dxa"/>
          </w:tcPr>
          <w:p w:rsidR="004901B1" w:rsidRDefault="004901B1" w:rsidP="004901B1">
            <w:pPr>
              <w:pStyle w:val="NoSpacing"/>
            </w:pPr>
            <w:r>
              <w:t>Event</w:t>
            </w:r>
          </w:p>
        </w:tc>
        <w:tc>
          <w:tcPr>
            <w:tcW w:w="2394" w:type="dxa"/>
          </w:tcPr>
          <w:p w:rsidR="004901B1" w:rsidRDefault="004901B1" w:rsidP="004901B1">
            <w:pPr>
              <w:pStyle w:val="NoSpacing"/>
            </w:pPr>
            <w:r>
              <w:t>Detail</w:t>
            </w:r>
          </w:p>
        </w:tc>
      </w:tr>
      <w:tr w:rsidR="004901B1" w:rsidTr="004901B1">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r>
      <w:tr w:rsidR="004901B1" w:rsidTr="004901B1">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r>
      <w:tr w:rsidR="004901B1" w:rsidTr="004901B1">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r>
      <w:tr w:rsidR="004901B1" w:rsidTr="004901B1">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r>
      <w:tr w:rsidR="004901B1" w:rsidTr="004901B1">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c>
          <w:tcPr>
            <w:tcW w:w="2394" w:type="dxa"/>
          </w:tcPr>
          <w:p w:rsidR="004901B1" w:rsidRDefault="004901B1" w:rsidP="004901B1">
            <w:pPr>
              <w:pStyle w:val="NoSpacing"/>
            </w:pPr>
          </w:p>
        </w:tc>
      </w:tr>
    </w:tbl>
    <w:p w:rsidR="004901B1" w:rsidRDefault="004901B1" w:rsidP="004901B1">
      <w:pPr>
        <w:pStyle w:val="NoSpacing"/>
      </w:pPr>
    </w:p>
    <w:p w:rsidR="002246C6" w:rsidRDefault="002246C6" w:rsidP="002246C6">
      <w:r>
        <w:t>Pick one image</w:t>
      </w:r>
      <w:r>
        <w:t xml:space="preserve"> and </w:t>
      </w:r>
      <w:r>
        <w:t>answer question 9b: What is the message of the photograph (remember, 2 marks = 2 separate and distinct messages for full points)</w:t>
      </w:r>
    </w:p>
    <w:p w:rsidR="002246C6" w:rsidRDefault="002246C6" w:rsidP="004901B1">
      <w:pPr>
        <w:pStyle w:val="NoSpacing"/>
      </w:pPr>
    </w:p>
    <w:sectPr w:rsidR="0022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A9"/>
    <w:rsid w:val="002246C6"/>
    <w:rsid w:val="004901B1"/>
    <w:rsid w:val="00634EA9"/>
    <w:rsid w:val="009A0C30"/>
    <w:rsid w:val="00C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722E"/>
  <w15:docId w15:val="{60092519-969C-480E-AFD0-EB2D9943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0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Seelbach Kathryn S</cp:lastModifiedBy>
  <cp:revision>2</cp:revision>
  <dcterms:created xsi:type="dcterms:W3CDTF">2016-03-29T16:48:00Z</dcterms:created>
  <dcterms:modified xsi:type="dcterms:W3CDTF">2017-04-04T14:06:00Z</dcterms:modified>
</cp:coreProperties>
</file>